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7A1CEE52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E4BE8" id="Rounded Rectangle 1" o:spid="_x0000_s1026" style="position:absolute;margin-left:16.5pt;margin-top:97.5pt;width:318.75pt;height:30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D73535">
        <w:rPr>
          <w:rFonts w:ascii="Curse Casual" w:hAnsi="Curse Casual"/>
          <w:sz w:val="144"/>
          <w:szCs w:val="144"/>
        </w:rPr>
        <w:t>O</w:t>
      </w:r>
    </w:p>
    <w:p w14:paraId="2A53DEA0" w14:textId="5BFEF5A1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A507B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D73535">
        <w:rPr>
          <w:rFonts w:ascii="Curse Casual" w:hAnsi="Curse Casual"/>
          <w:sz w:val="144"/>
          <w:szCs w:val="144"/>
        </w:rPr>
        <w:t>P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2f40456a-2ee5-4a7e-9cb5-222580ab26a9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463BFCD-B325-4439-8930-532789CE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2014-10-20T13:51:00Z</dcterms:created>
  <dcterms:modified xsi:type="dcterms:W3CDTF">2014-10-20T13:51:00Z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