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302210DA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C4F90" id="Rounded Rectangle 1" o:spid="_x0000_s1026" style="position:absolute;margin-left:16.5pt;margin-top:97.5pt;width:318.75pt;height:30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441B19">
        <w:rPr>
          <w:rFonts w:ascii="Curse Casual" w:hAnsi="Curse Casual"/>
          <w:sz w:val="144"/>
          <w:szCs w:val="144"/>
        </w:rPr>
        <w:t>S</w:t>
      </w:r>
    </w:p>
    <w:p w14:paraId="2A53DEA0" w14:textId="02E105D5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C0D4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441B19">
        <w:rPr>
          <w:rFonts w:ascii="Curse Casual" w:hAnsi="Curse Casual"/>
          <w:sz w:val="144"/>
          <w:szCs w:val="144"/>
        </w:rPr>
        <w:t>T</w:t>
      </w:r>
      <w:bookmarkStart w:id="0" w:name="_GoBack"/>
      <w:bookmarkEnd w:id="0"/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C6099F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f40456a-2ee5-4a7e-9cb5-222580ab26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434108-8DDA-42C9-AD0F-B489CEC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2014-10-20T13:52:00Z</dcterms:created>
  <dcterms:modified xsi:type="dcterms:W3CDTF">2014-10-20T13:52:00Z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