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53AEB905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6E25D" id="Rounded Rectangle 1" o:spid="_x0000_s1026" style="position:absolute;margin-left:16.5pt;margin-top:97.5pt;width:318.75pt;height:30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C74C32">
        <w:rPr>
          <w:rFonts w:ascii="Curse Casual" w:hAnsi="Curse Casual"/>
          <w:sz w:val="144"/>
          <w:szCs w:val="144"/>
        </w:rPr>
        <w:t>U</w:t>
      </w:r>
      <w:bookmarkStart w:id="0" w:name="_GoBack"/>
      <w:bookmarkEnd w:id="0"/>
    </w:p>
    <w:p w14:paraId="2A53DEA0" w14:textId="5EC2F494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0608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C74C32">
        <w:rPr>
          <w:rFonts w:ascii="Curse Casual" w:hAnsi="Curse Casual"/>
          <w:sz w:val="144"/>
          <w:szCs w:val="144"/>
        </w:rPr>
        <w:t>V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C6099F"/>
    <w:rsid w:val="00C74C32"/>
    <w:rsid w:val="00D73535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f40456a-2ee5-4a7e-9cb5-222580ab26a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0B87DC-D46F-4B09-9250-C6D5851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2014-10-20T13:52:00Z</dcterms:created>
  <dcterms:modified xsi:type="dcterms:W3CDTF">2014-10-20T13:52:00Z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